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941536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41536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41536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6B4892" w:rsidP="00DC6C96">
      <w:pPr>
        <w:pStyle w:val="3"/>
        <w:jc w:val="left"/>
        <w:rPr>
          <w:b w:val="0"/>
          <w:sz w:val="15"/>
          <w:lang w:val="uk-UA"/>
        </w:rPr>
      </w:pPr>
      <w:r w:rsidRPr="00941536">
        <w:rPr>
          <w:b w:val="0"/>
          <w:sz w:val="20"/>
          <w:szCs w:val="20"/>
          <w:u w:val="single"/>
        </w:rPr>
        <w:t>31.03.2021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941536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941536">
        <w:rPr>
          <w:b w:val="0"/>
          <w:sz w:val="20"/>
          <w:szCs w:val="20"/>
        </w:rPr>
        <w:t xml:space="preserve"> </w:t>
      </w:r>
      <w:r w:rsidR="006B4892" w:rsidRPr="00941536">
        <w:rPr>
          <w:b w:val="0"/>
          <w:sz w:val="20"/>
          <w:szCs w:val="20"/>
          <w:u w:val="single"/>
        </w:rPr>
        <w:t>07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9415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6B489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6B489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Карпiч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941536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6B48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Одесбудматерiали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6B48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941536" w:rsidRDefault="006B4892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65041 м. Одеса вул. </w:t>
            </w:r>
            <w:proofErr w:type="spellStart"/>
            <w:r>
              <w:rPr>
                <w:sz w:val="20"/>
                <w:szCs w:val="20"/>
                <w:lang w:val="uk-UA"/>
              </w:rPr>
              <w:t>Шкодова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гора, 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00293686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(048) 7062927 (048) 7062927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budmater@emitent.net.ua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6B4892" w:rsidRPr="00941536" w:rsidRDefault="006B4892" w:rsidP="00DC6C96">
            <w:pPr>
              <w:rPr>
                <w:sz w:val="20"/>
                <w:szCs w:val="20"/>
              </w:rPr>
            </w:pPr>
            <w:r w:rsidRPr="0094153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6B4892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6B4892" w:rsidRDefault="006B48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6B4892" w:rsidRPr="00941536" w:rsidRDefault="006B4892" w:rsidP="00DC6C96">
            <w:pPr>
              <w:rPr>
                <w:sz w:val="20"/>
                <w:szCs w:val="20"/>
              </w:rPr>
            </w:pPr>
            <w:r w:rsidRPr="0094153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6B4892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6B4892" w:rsidRDefault="006B48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6B48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6B489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www.obm.pat.ua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6B489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14694" w:rsidRDefault="00614694" w:rsidP="00C86AFD">
      <w:pPr>
        <w:rPr>
          <w:lang w:val="en-US"/>
        </w:rPr>
        <w:sectPr w:rsidR="00614694" w:rsidSect="006B489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614694" w:rsidRPr="00614694" w:rsidTr="008F06C2">
        <w:trPr>
          <w:trHeight w:val="440"/>
          <w:tblCellSpacing w:w="22" w:type="dxa"/>
        </w:trPr>
        <w:tc>
          <w:tcPr>
            <w:tcW w:w="4931" w:type="pct"/>
          </w:tcPr>
          <w:p w:rsidR="00614694" w:rsidRPr="00614694" w:rsidRDefault="00614694" w:rsidP="00614694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614694">
              <w:rPr>
                <w:sz w:val="20"/>
                <w:szCs w:val="20"/>
              </w:rPr>
              <w:t xml:space="preserve"> 6</w:t>
            </w:r>
            <w:r w:rsidRPr="00614694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614694">
              <w:rPr>
                <w:sz w:val="20"/>
                <w:szCs w:val="20"/>
              </w:rPr>
              <w:t>Положення</w:t>
            </w:r>
            <w:proofErr w:type="spellEnd"/>
            <w:r w:rsidRPr="00614694">
              <w:rPr>
                <w:sz w:val="20"/>
                <w:szCs w:val="20"/>
              </w:rPr>
              <w:t xml:space="preserve"> про </w:t>
            </w:r>
            <w:proofErr w:type="spellStart"/>
            <w:r w:rsidRPr="00614694">
              <w:rPr>
                <w:sz w:val="20"/>
                <w:szCs w:val="20"/>
              </w:rPr>
              <w:t>розкриття</w:t>
            </w:r>
            <w:proofErr w:type="spellEnd"/>
            <w:r w:rsidRPr="00614694">
              <w:rPr>
                <w:sz w:val="20"/>
                <w:szCs w:val="20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</w:rPr>
              <w:t>інформації</w:t>
            </w:r>
            <w:proofErr w:type="spellEnd"/>
            <w:r w:rsidRPr="00614694">
              <w:rPr>
                <w:sz w:val="20"/>
                <w:szCs w:val="20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</w:rPr>
              <w:t>емітентами</w:t>
            </w:r>
            <w:proofErr w:type="spellEnd"/>
            <w:r w:rsidRPr="00614694">
              <w:rPr>
                <w:sz w:val="20"/>
                <w:szCs w:val="20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</w:rPr>
              <w:t>цінних</w:t>
            </w:r>
            <w:proofErr w:type="spellEnd"/>
            <w:r w:rsidRPr="00614694">
              <w:rPr>
                <w:sz w:val="20"/>
                <w:szCs w:val="20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</w:rPr>
              <w:t>паперів</w:t>
            </w:r>
            <w:proofErr w:type="spellEnd"/>
            <w:r w:rsidRPr="00614694">
              <w:rPr>
                <w:sz w:val="20"/>
                <w:szCs w:val="20"/>
              </w:rPr>
              <w:br/>
              <w:t>(</w:t>
            </w:r>
            <w:proofErr w:type="spellStart"/>
            <w:r w:rsidRPr="00614694">
              <w:rPr>
                <w:sz w:val="20"/>
                <w:szCs w:val="20"/>
              </w:rPr>
              <w:t>п</w:t>
            </w:r>
            <w:proofErr w:type="gramStart"/>
            <w:r w:rsidRPr="00614694">
              <w:rPr>
                <w:sz w:val="20"/>
                <w:szCs w:val="20"/>
              </w:rPr>
              <w:t>у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614694">
              <w:rPr>
                <w:sz w:val="20"/>
                <w:szCs w:val="20"/>
                <w:lang w:val="uk-UA"/>
              </w:rPr>
              <w:t>пу</w:t>
            </w:r>
            <w:r w:rsidRPr="00614694">
              <w:rPr>
                <w:sz w:val="20"/>
                <w:szCs w:val="20"/>
              </w:rPr>
              <w:t>нкт</w:t>
            </w:r>
            <w:proofErr w:type="spellEnd"/>
            <w:r w:rsidRPr="00614694">
              <w:rPr>
                <w:sz w:val="20"/>
                <w:szCs w:val="20"/>
              </w:rPr>
              <w:t xml:space="preserve"> 7 </w:t>
            </w:r>
            <w:proofErr w:type="spellStart"/>
            <w:r w:rsidRPr="00614694">
              <w:rPr>
                <w:sz w:val="20"/>
                <w:szCs w:val="20"/>
              </w:rPr>
              <w:t>глави</w:t>
            </w:r>
            <w:proofErr w:type="spellEnd"/>
            <w:r w:rsidRPr="00614694">
              <w:rPr>
                <w:sz w:val="20"/>
                <w:szCs w:val="20"/>
              </w:rPr>
              <w:t xml:space="preserve"> 1 </w:t>
            </w:r>
            <w:proofErr w:type="spellStart"/>
            <w:r w:rsidRPr="00614694">
              <w:rPr>
                <w:sz w:val="20"/>
                <w:szCs w:val="20"/>
              </w:rPr>
              <w:t>розділу</w:t>
            </w:r>
            <w:proofErr w:type="spellEnd"/>
            <w:r w:rsidRPr="00614694">
              <w:rPr>
                <w:sz w:val="20"/>
                <w:szCs w:val="20"/>
              </w:rPr>
              <w:t xml:space="preserve"> III)</w:t>
            </w:r>
          </w:p>
        </w:tc>
      </w:tr>
    </w:tbl>
    <w:p w:rsidR="00614694" w:rsidRPr="00614694" w:rsidRDefault="00614694" w:rsidP="00614694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614694">
        <w:rPr>
          <w:sz w:val="20"/>
          <w:szCs w:val="20"/>
          <w:lang w:val="uk-UA"/>
        </w:rPr>
        <w:br w:type="textWrapping" w:clear="all"/>
      </w:r>
      <w:r w:rsidRPr="00614694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614694">
              <w:rPr>
                <w:b/>
                <w:sz w:val="20"/>
                <w:szCs w:val="20"/>
              </w:rPr>
              <w:t>вчинення</w:t>
            </w:r>
            <w:proofErr w:type="spellEnd"/>
            <w:r w:rsidRPr="006146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694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614694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614694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614694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30.03.2021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 xml:space="preserve">Осичка Василь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0.28610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Товариства 30.03.2021 р.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 р.) припинено повноваження  Голови наглядової ради Осички Василя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Iвановича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 у зв'язку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строку повноважень. Вказана особа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0.28610%; непогашеної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злочини немає, строк, протягом якого особа перебувала на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- 3 роки.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30.03.2021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 xml:space="preserve">Прошак Володимир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Iллiч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0.23080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Товариства 30.03.2021 р.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 р.) припинено повноваження  Члена наглядової ради Прошака Володимира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Iллiча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 у зв'язку 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строку повноважень. Вказана особа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0.23080%; непогашеної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злочини немає, строк, протягом якого особа перебувала на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- 3 роки.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30.03.2021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 xml:space="preserve">Проценко Катерина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Антипiвна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0.28610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Товариства 30.03.2021 р.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 р.) припинено повноваження  Члена наглядової ради Проценко Катерини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Антипiвни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 у зв'язку 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строку повноважень. Вказана особа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0.28610%; непогашеної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злочини немає, строк, протягом якого особа перебувала на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- 3 роки.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30.03.2021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 xml:space="preserve">Осичка Василь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0.28610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Товариства 30.03.2021 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30.03.2021)  прийнято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про обрання Члена наглядової ради Осичка Василя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Iвановича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. Як Голову Наглядової ради обрано на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засiданнi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Наглядової ради 30.03.2021  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30.03.2021). Вказана особа  є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0.28610%;  непогашеної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злочини немає, строк, на який обрано особу - 3 роки,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- не працює, на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пенсiї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>.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30.03.2021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 xml:space="preserve">Прошак Володимир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Iллiч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0.23080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Товариства 30.03.2021 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30.03.2021)  прийнято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про обрання Члена наглядової ради Прошака Володимира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Iллiча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. Вказана особа  є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0.23080%;  непогашеної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злочини немає, строк, на який обрано особу - 3 роки,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- приватний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пiдприємець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>.</w:t>
            </w:r>
          </w:p>
        </w:tc>
      </w:tr>
      <w:tr w:rsidR="00614694" w:rsidRPr="00614694" w:rsidTr="008F06C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30.03.2021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t>Олiфiренко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Нiна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Iванiвна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14694">
              <w:rPr>
                <w:sz w:val="20"/>
                <w:szCs w:val="20"/>
                <w:lang w:val="uk-UA"/>
              </w:rPr>
              <w:t>0.00801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1469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14694" w:rsidRPr="00614694" w:rsidTr="008F06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694" w:rsidRPr="00614694" w:rsidRDefault="00614694" w:rsidP="0061469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614694">
              <w:rPr>
                <w:sz w:val="20"/>
                <w:szCs w:val="20"/>
                <w:lang w:val="uk-UA"/>
              </w:rPr>
              <w:lastRenderedPageBreak/>
              <w:t>Рiчними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Товариства 30.03.2021  (протокол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30.03.2021)  прийнято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про обрання Члена наглядової ради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Олiфiренко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Нiни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Iванiвни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. Вказана особа  є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0.00801%;  непогашеної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злочини немає, строк, на який обрано особу - 3 роки,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614694">
              <w:rPr>
                <w:sz w:val="20"/>
                <w:szCs w:val="20"/>
                <w:lang w:val="uk-UA"/>
              </w:rPr>
              <w:t>пенсiонер</w:t>
            </w:r>
            <w:proofErr w:type="spellEnd"/>
            <w:r w:rsidRPr="00614694">
              <w:rPr>
                <w:sz w:val="20"/>
                <w:szCs w:val="20"/>
                <w:lang w:val="uk-UA"/>
              </w:rPr>
              <w:t>, не працює.</w:t>
            </w:r>
          </w:p>
        </w:tc>
      </w:tr>
    </w:tbl>
    <w:p w:rsidR="00614694" w:rsidRPr="00614694" w:rsidRDefault="00614694" w:rsidP="00614694"/>
    <w:p w:rsidR="00614694" w:rsidRPr="00614694" w:rsidRDefault="00614694" w:rsidP="00614694">
      <w:r w:rsidRPr="00614694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614694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614694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941536" w:rsidRDefault="003C4C1A" w:rsidP="00C86AFD"/>
    <w:sectPr w:rsidR="003C4C1A" w:rsidRPr="00941536" w:rsidSect="00614694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92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14694"/>
    <w:rsid w:val="006B4892"/>
    <w:rsid w:val="006C6B5C"/>
    <w:rsid w:val="007E37D1"/>
    <w:rsid w:val="007F5510"/>
    <w:rsid w:val="00902454"/>
    <w:rsid w:val="00941536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CC89-DFE2-442F-9250-CC032002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3</Pages>
  <Words>4030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2021-03-31T08:01:00Z</dcterms:created>
  <dcterms:modified xsi:type="dcterms:W3CDTF">2021-03-31T08:01:00Z</dcterms:modified>
</cp:coreProperties>
</file>